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FF25" w14:textId="77777777" w:rsidR="005E1030" w:rsidRDefault="00600E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a5"/>
        <w:tblW w:w="10065" w:type="dxa"/>
        <w:tblInd w:w="-115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5E1030" w14:paraId="556843AD" w14:textId="77777777" w:rsidTr="00FA1F51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14:paraId="0F4CE451" w14:textId="77777777" w:rsidR="005E1030" w:rsidRDefault="0060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65408" behindDoc="0" locked="0" layoutInCell="1" hidden="0" allowOverlap="1" wp14:anchorId="013DD9F4" wp14:editId="3CDF0EC7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14:paraId="13DFC1E8" w14:textId="77777777" w:rsidR="005E1030" w:rsidRDefault="00600ED1">
            <w:pPr>
              <w:pStyle w:val="a3"/>
              <w:keepNext w:val="0"/>
              <w:keepLines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  <w:t>дисципліна</w:t>
            </w:r>
          </w:p>
          <w:p w14:paraId="0A1EA9E4" w14:textId="77777777" w:rsidR="005E1030" w:rsidRPr="002510C3" w:rsidRDefault="00600ED1" w:rsidP="002510C3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510C3">
              <w:rPr>
                <w:rFonts w:ascii="Times New Roman" w:eastAsia="Times New Roman" w:hAnsi="Times New Roman" w:cs="Times New Roman"/>
                <w:sz w:val="32"/>
                <w:szCs w:val="32"/>
              </w:rPr>
              <w:t>«</w:t>
            </w:r>
            <w:r w:rsidR="002510C3" w:rsidRPr="002510C3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Сучасні технічні пристрої вимірювання технологічних параметрів та мікропроцесорні засоби автоматизації</w:t>
            </w:r>
            <w:r w:rsidRPr="002510C3"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5E1030" w14:paraId="4F6BD839" w14:textId="77777777" w:rsidTr="00FA1F51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14:paraId="1BF9385D" w14:textId="77777777" w:rsidR="005E1030" w:rsidRDefault="005E103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14:paraId="42F40C92" w14:textId="77777777" w:rsidR="002510C3" w:rsidRDefault="00600ED1" w:rsidP="002510C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0C3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вільного вибору/</w:t>
            </w:r>
            <w:r w:rsidR="002510C3" w:rsidRPr="006E5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0C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2510C3" w:rsidRPr="006E5B02">
              <w:rPr>
                <w:rFonts w:ascii="Times New Roman" w:hAnsi="Times New Roman"/>
                <w:sz w:val="24"/>
                <w:szCs w:val="24"/>
              </w:rPr>
              <w:t>рофесійно</w:t>
            </w:r>
            <w:proofErr w:type="spellEnd"/>
            <w:r w:rsidR="002510C3" w:rsidRPr="006E5B02">
              <w:rPr>
                <w:rFonts w:ascii="Times New Roman" w:hAnsi="Times New Roman"/>
                <w:sz w:val="24"/>
                <w:szCs w:val="24"/>
              </w:rPr>
              <w:t>-орієнтовані дисципліни</w:t>
            </w:r>
          </w:p>
          <w:p w14:paraId="27930D24" w14:textId="77777777" w:rsidR="005E1030" w:rsidRDefault="005E103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030" w14:paraId="24912592" w14:textId="77777777" w:rsidTr="00FA1F51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7752DABF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Спеціальності:</w:t>
            </w:r>
          </w:p>
        </w:tc>
        <w:tc>
          <w:tcPr>
            <w:tcW w:w="5910" w:type="dxa"/>
            <w:vAlign w:val="center"/>
          </w:tcPr>
          <w:p w14:paraId="409EBBA3" w14:textId="77777777" w:rsidR="005E1030" w:rsidRPr="002510C3" w:rsidRDefault="002510C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0C3">
              <w:rPr>
                <w:rFonts w:ascii="Times New Roman" w:hAnsi="Times New Roman" w:cs="Times New Roman"/>
                <w:sz w:val="24"/>
                <w:szCs w:val="24"/>
              </w:rPr>
              <w:t>151 – Автоматизація та комп’ютерно-інтегровані технології</w:t>
            </w:r>
          </w:p>
        </w:tc>
      </w:tr>
      <w:tr w:rsidR="005E1030" w14:paraId="5F334D57" w14:textId="77777777" w:rsidTr="00FA1F51">
        <w:tc>
          <w:tcPr>
            <w:tcW w:w="4155" w:type="dxa"/>
            <w:shd w:val="clear" w:color="auto" w:fill="F2F2F2"/>
            <w:vAlign w:val="center"/>
          </w:tcPr>
          <w:p w14:paraId="6F5B2535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</w:p>
        </w:tc>
        <w:tc>
          <w:tcPr>
            <w:tcW w:w="5910" w:type="dxa"/>
            <w:vAlign w:val="center"/>
          </w:tcPr>
          <w:p w14:paraId="16AF53EC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5E1030" w14:paraId="34A9DDD6" w14:textId="77777777" w:rsidTr="00FA1F51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14:paraId="4E2ADCD2" w14:textId="3C3EB728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B476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можуть одночасно навчатися (мінімальна - максимальна):</w:t>
            </w:r>
          </w:p>
        </w:tc>
        <w:tc>
          <w:tcPr>
            <w:tcW w:w="5910" w:type="dxa"/>
            <w:vAlign w:val="center"/>
          </w:tcPr>
          <w:p w14:paraId="5D663270" w14:textId="39F67C42" w:rsidR="005E1030" w:rsidRPr="00B47688" w:rsidRDefault="00B4768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76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510C3" w:rsidRPr="00B476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-15</w:t>
            </w:r>
          </w:p>
        </w:tc>
      </w:tr>
      <w:tr w:rsidR="005E1030" w14:paraId="66691113" w14:textId="77777777" w:rsidTr="00FA1F51">
        <w:tc>
          <w:tcPr>
            <w:tcW w:w="4155" w:type="dxa"/>
            <w:shd w:val="clear" w:color="auto" w:fill="F2F2F2"/>
            <w:vAlign w:val="center"/>
          </w:tcPr>
          <w:p w14:paraId="73B02AD6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</w:p>
        </w:tc>
        <w:tc>
          <w:tcPr>
            <w:tcW w:w="5910" w:type="dxa"/>
            <w:vAlign w:val="center"/>
          </w:tcPr>
          <w:p w14:paraId="48685A9D" w14:textId="77777777" w:rsidR="005E1030" w:rsidRPr="002510C3" w:rsidRDefault="002510C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E1030" w14:paraId="65371826" w14:textId="77777777" w:rsidTr="00FA1F51">
        <w:tc>
          <w:tcPr>
            <w:tcW w:w="4155" w:type="dxa"/>
            <w:shd w:val="clear" w:color="auto" w:fill="F2F2F2"/>
            <w:vAlign w:val="center"/>
          </w:tcPr>
          <w:p w14:paraId="67C0F026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14:paraId="6FC9D15F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  <w:p w14:paraId="2C72151C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академічних годин (вказати окремо лекції, лабораторні заняття, практичні заняття, самостійна робота тощо)</w:t>
            </w:r>
          </w:p>
        </w:tc>
        <w:tc>
          <w:tcPr>
            <w:tcW w:w="5910" w:type="dxa"/>
            <w:vAlign w:val="center"/>
          </w:tcPr>
          <w:p w14:paraId="2FA0A6B8" w14:textId="77777777" w:rsidR="005E1030" w:rsidRPr="002510C3" w:rsidRDefault="002510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14:paraId="4128A8A0" w14:textId="77777777" w:rsidR="002510C3" w:rsidRDefault="002510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18-лекції</w:t>
            </w:r>
          </w:p>
          <w:p w14:paraId="4FD9DC6A" w14:textId="77777777" w:rsidR="002510C3" w:rsidRDefault="002510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18-практичні заняття</w:t>
            </w:r>
          </w:p>
          <w:p w14:paraId="73E9A3A0" w14:textId="77777777" w:rsidR="002510C3" w:rsidRPr="002510C3" w:rsidRDefault="002510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54-самостійна робота</w:t>
            </w:r>
          </w:p>
        </w:tc>
      </w:tr>
      <w:tr w:rsidR="005E1030" w14:paraId="2123F801" w14:textId="77777777" w:rsidTr="00FA1F51">
        <w:tc>
          <w:tcPr>
            <w:tcW w:w="4155" w:type="dxa"/>
            <w:shd w:val="clear" w:color="auto" w:fill="F2F2F2"/>
            <w:vAlign w:val="center"/>
          </w:tcPr>
          <w:p w14:paraId="0DA660B8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завдань:</w:t>
            </w:r>
          </w:p>
        </w:tc>
        <w:tc>
          <w:tcPr>
            <w:tcW w:w="5910" w:type="dxa"/>
            <w:vAlign w:val="center"/>
          </w:tcPr>
          <w:p w14:paraId="42D9306F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5E1030" w14:paraId="34192889" w14:textId="77777777" w:rsidTr="00FA1F51">
        <w:tc>
          <w:tcPr>
            <w:tcW w:w="4155" w:type="dxa"/>
            <w:shd w:val="clear" w:color="auto" w:fill="F2F2F2"/>
            <w:vAlign w:val="center"/>
          </w:tcPr>
          <w:p w14:paraId="7BEE047E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14:paraId="752F5692" w14:textId="77777777" w:rsidR="005E1030" w:rsidRDefault="00115F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CE0">
              <w:rPr>
                <w:rFonts w:ascii="Times New Roman" w:hAnsi="Times New Roman"/>
                <w:sz w:val="24"/>
                <w:szCs w:val="24"/>
              </w:rPr>
              <w:t>Автоматизації та комп’ютерно-інтегрованих технологій</w:t>
            </w:r>
          </w:p>
        </w:tc>
      </w:tr>
      <w:tr w:rsidR="005E1030" w14:paraId="545D6446" w14:textId="77777777" w:rsidTr="00FA1F51">
        <w:tc>
          <w:tcPr>
            <w:tcW w:w="4155" w:type="dxa"/>
            <w:shd w:val="clear" w:color="auto" w:fill="F2F2F2"/>
            <w:vAlign w:val="center"/>
          </w:tcPr>
          <w:p w14:paraId="4434CF3C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14:paraId="38FF04DE" w14:textId="77777777" w:rsidR="00115F02" w:rsidRDefault="00115F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Когутяк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Мирослав Іванович </w:t>
            </w:r>
          </w:p>
          <w:p w14:paraId="2A6A8AD9" w14:textId="77777777" w:rsidR="005E1030" w:rsidRPr="00115F02" w:rsidRDefault="00115F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60CE0">
              <w:rPr>
                <w:rFonts w:ascii="Times New Roman" w:hAnsi="Times New Roman"/>
                <w:sz w:val="24"/>
                <w:szCs w:val="24"/>
              </w:rPr>
              <w:t>канд</w:t>
            </w:r>
            <w:proofErr w:type="spellEnd"/>
            <w:r w:rsidRPr="00D60C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60CE0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D60CE0">
              <w:rPr>
                <w:rFonts w:ascii="Times New Roman" w:hAnsi="Times New Roman"/>
                <w:sz w:val="24"/>
                <w:szCs w:val="24"/>
              </w:rPr>
              <w:t xml:space="preserve">. наук , доцент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(всі види занять)</w:t>
            </w:r>
          </w:p>
        </w:tc>
      </w:tr>
      <w:tr w:rsidR="005E1030" w14:paraId="5AD0B645" w14:textId="77777777" w:rsidTr="00FA1F51">
        <w:tc>
          <w:tcPr>
            <w:tcW w:w="4155" w:type="dxa"/>
            <w:shd w:val="clear" w:color="auto" w:fill="F2F2F2"/>
            <w:vAlign w:val="center"/>
          </w:tcPr>
          <w:p w14:paraId="1DDCA92C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14:paraId="3552CB5C" w14:textId="77777777" w:rsidR="00115F02" w:rsidRPr="00115F02" w:rsidRDefault="00115F0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-базові знання з метрології і вимірювальної техніки</w:t>
            </w:r>
          </w:p>
          <w:p w14:paraId="4450621C" w14:textId="77777777" w:rsidR="005E1030" w:rsidRDefault="00115F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-базові знання з </w:t>
            </w:r>
            <w:r>
              <w:rPr>
                <w:rFonts w:ascii="Times New Roman" w:hAnsi="Times New Roman"/>
                <w:sz w:val="24"/>
                <w:szCs w:val="24"/>
              </w:rPr>
              <w:t>мікропроцесорної техніки та програмування промислових контролерів</w:t>
            </w:r>
          </w:p>
        </w:tc>
      </w:tr>
      <w:tr w:rsidR="005E1030" w14:paraId="1D427F4F" w14:textId="77777777" w:rsidTr="00FA1F51">
        <w:tc>
          <w:tcPr>
            <w:tcW w:w="4155" w:type="dxa"/>
            <w:shd w:val="clear" w:color="auto" w:fill="F2F2F2"/>
            <w:vAlign w:val="center"/>
          </w:tcPr>
          <w:p w14:paraId="13ED56B3" w14:textId="51F4FFF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яких набуде </w:t>
            </w:r>
            <w:r w:rsidR="00B476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після опанування даної дисципліни:</w:t>
            </w:r>
          </w:p>
        </w:tc>
        <w:tc>
          <w:tcPr>
            <w:tcW w:w="5910" w:type="dxa"/>
            <w:vAlign w:val="center"/>
          </w:tcPr>
          <w:p w14:paraId="1323DE82" w14:textId="77777777" w:rsidR="00115F02" w:rsidRPr="001C2D1E" w:rsidRDefault="00115F02" w:rsidP="001C2D1E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</w:t>
            </w:r>
            <w:proofErr w:type="spellEnd"/>
            <w:r w:rsidRPr="001C2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1C2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621BCDA8" w14:textId="77777777" w:rsidR="00115F02" w:rsidRDefault="00115F02" w:rsidP="00115F02">
            <w:pPr>
              <w:pStyle w:val="10"/>
              <w:shd w:val="clear" w:color="auto" w:fill="FFFFFF"/>
              <w:tabs>
                <w:tab w:val="left" w:pos="495"/>
              </w:tabs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15F02">
              <w:rPr>
                <w:rFonts w:ascii="Times New Roman" w:hAnsi="Times New Roman" w:cs="Times New Roman"/>
              </w:rPr>
              <w:t>ЗК1. Здатність генерувати нові ідеї (креативність).</w:t>
            </w:r>
          </w:p>
          <w:p w14:paraId="5FAD9B38" w14:textId="77777777" w:rsidR="00115F02" w:rsidRPr="00115F02" w:rsidRDefault="00115F02" w:rsidP="00115F02">
            <w:pPr>
              <w:pStyle w:val="10"/>
              <w:shd w:val="clear" w:color="auto" w:fill="FFFFFF"/>
              <w:tabs>
                <w:tab w:val="left" w:pos="495"/>
              </w:tabs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15F02">
              <w:rPr>
                <w:rFonts w:ascii="Times New Roman" w:hAnsi="Times New Roman" w:cs="Times New Roman"/>
              </w:rPr>
              <w:t>ЗК2. Здатність до пошуку, оброблення та аналізу інформації 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5F02">
              <w:rPr>
                <w:rFonts w:ascii="Times New Roman" w:hAnsi="Times New Roman" w:cs="Times New Roman"/>
              </w:rPr>
              <w:t>різних джерел.</w:t>
            </w:r>
          </w:p>
          <w:p w14:paraId="2228907B" w14:textId="77777777" w:rsidR="00115F02" w:rsidRPr="00115F02" w:rsidRDefault="00115F02" w:rsidP="00115F02">
            <w:pPr>
              <w:pStyle w:val="2"/>
              <w:spacing w:before="0" w:after="0"/>
              <w:ind w:left="284" w:hanging="28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5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фахов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115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</w:t>
            </w:r>
          </w:p>
          <w:p w14:paraId="093B900F" w14:textId="77777777" w:rsidR="00115F02" w:rsidRPr="00115F02" w:rsidRDefault="00115F02" w:rsidP="00115F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СК3. Здатність застосовувати сучасні методи дослідження, синтезу, проектування систем автоматизації, комп'ютерно-інтегрованих технологій, їх програмних та апаратних компонентів, спеціалізоване програмне забезпечення у науковій та викладацькій діяльності.</w:t>
            </w:r>
          </w:p>
          <w:p w14:paraId="4D124CF7" w14:textId="77777777" w:rsidR="00115F02" w:rsidRPr="00115F02" w:rsidRDefault="00115F02" w:rsidP="00115F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СК5. Здатність створювати новітні системи автоматизації, комп'ютерно-інтегровані технології, розробляти їх технічне, інформаційне, математичне, програмне та організаційне забезпечення із застосуванням сучасних інформаційних технологій, </w:t>
            </w:r>
            <w:r w:rsidRPr="0011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інструментів та компонентів.</w:t>
            </w:r>
          </w:p>
          <w:p w14:paraId="521F7E70" w14:textId="77777777" w:rsidR="005E1030" w:rsidRPr="00115F02" w:rsidRDefault="005E10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030" w14:paraId="3006FBE1" w14:textId="77777777" w:rsidTr="00FA1F51">
        <w:tc>
          <w:tcPr>
            <w:tcW w:w="4155" w:type="dxa"/>
            <w:shd w:val="clear" w:color="auto" w:fill="F2F2F2"/>
            <w:vAlign w:val="center"/>
          </w:tcPr>
          <w:p w14:paraId="1B1AAD67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14:paraId="697B08A1" w14:textId="77777777" w:rsidR="005E1030" w:rsidRDefault="009070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CE0">
              <w:rPr>
                <w:rFonts w:ascii="Times New Roman" w:hAnsi="Times New Roman"/>
                <w:sz w:val="24"/>
                <w:szCs w:val="24"/>
              </w:rPr>
              <w:t>Модульний та семестровий контроль знань Можливості дистанційної форми навчання.</w:t>
            </w:r>
          </w:p>
        </w:tc>
      </w:tr>
      <w:tr w:rsidR="005E1030" w14:paraId="07041C63" w14:textId="77777777" w:rsidTr="00FA1F51">
        <w:tc>
          <w:tcPr>
            <w:tcW w:w="4155" w:type="dxa"/>
            <w:shd w:val="clear" w:color="auto" w:fill="F2F2F2"/>
            <w:vAlign w:val="center"/>
          </w:tcPr>
          <w:p w14:paraId="16F9B617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забезпечення:</w:t>
            </w:r>
          </w:p>
        </w:tc>
        <w:tc>
          <w:tcPr>
            <w:tcW w:w="5910" w:type="dxa"/>
            <w:vAlign w:val="center"/>
          </w:tcPr>
          <w:p w14:paraId="04CB518C" w14:textId="77777777" w:rsidR="005E1030" w:rsidRPr="0049356A" w:rsidRDefault="00B756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оператора</w:t>
            </w:r>
            <w:r w:rsidR="00600E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A1F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стенди та установки з мікропроцесорними засобами фірм </w:t>
            </w:r>
            <w:proofErr w:type="spellStart"/>
            <w:r w:rsidR="00FA1F51" w:rsidRPr="00B756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Emerson</w:t>
            </w:r>
            <w:proofErr w:type="spellEnd"/>
            <w:r w:rsidR="00FA1F51" w:rsidRPr="00B756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A1F51" w:rsidRPr="00B756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Siemens</w:t>
            </w:r>
            <w:r w:rsidR="00FA1F51" w:rsidRPr="00B756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A1F51" w:rsidRPr="00B756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Rockwell</w:t>
            </w:r>
            <w:r w:rsidR="00FA1F51" w:rsidRPr="00B756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 </w:t>
            </w:r>
            <w:proofErr w:type="spellStart"/>
            <w:r w:rsidR="00FA1F51" w:rsidRPr="00B7564B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Honeywell</w:t>
            </w:r>
            <w:proofErr w:type="spellEnd"/>
            <w:r w:rsidR="00FA1F51" w:rsidRPr="00B7564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7564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B7564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Мікрол</w:t>
            </w:r>
            <w:proofErr w:type="spellEnd"/>
            <w:r w:rsidR="00FA1F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інструментальне </w:t>
            </w:r>
            <w:r w:rsidR="00600E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програмне 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00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1030" w14:paraId="043A013B" w14:textId="77777777" w:rsidTr="00FA1F51">
        <w:tc>
          <w:tcPr>
            <w:tcW w:w="4155" w:type="dxa"/>
            <w:shd w:val="clear" w:color="auto" w:fill="F2F2F2"/>
            <w:vAlign w:val="center"/>
          </w:tcPr>
          <w:p w14:paraId="43C1C21B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 на дисципліну:</w:t>
            </w:r>
          </w:p>
        </w:tc>
        <w:tc>
          <w:tcPr>
            <w:tcW w:w="5910" w:type="dxa"/>
            <w:vAlign w:val="center"/>
          </w:tcPr>
          <w:p w14:paraId="7B404BDD" w14:textId="77777777" w:rsidR="00B30B08" w:rsidRPr="001C2D1E" w:rsidRDefault="00000000" w:rsidP="00B30B08">
            <w:pPr>
              <w:jc w:val="both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30B08" w:rsidRPr="00F62AB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http://194.44.112.13/chytalna/5768/index.html</w:t>
              </w:r>
            </w:hyperlink>
          </w:p>
          <w:p w14:paraId="6CAB571E" w14:textId="77777777" w:rsidR="005E103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49356A" w:rsidRPr="00F62AB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http://194.44.112.13/chytalna/1366/index.html</w:t>
              </w:r>
            </w:hyperlink>
          </w:p>
        </w:tc>
      </w:tr>
      <w:tr w:rsidR="00692203" w14:paraId="6BFF4981" w14:textId="77777777" w:rsidTr="00FA1F51">
        <w:tc>
          <w:tcPr>
            <w:tcW w:w="4155" w:type="dxa"/>
            <w:shd w:val="clear" w:color="auto" w:fill="F2F2F2"/>
            <w:vAlign w:val="center"/>
          </w:tcPr>
          <w:p w14:paraId="404DD421" w14:textId="77777777" w:rsidR="00692203" w:rsidRP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76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Типи завдань та форми контролю</w:t>
            </w:r>
          </w:p>
        </w:tc>
        <w:tc>
          <w:tcPr>
            <w:tcW w:w="5910" w:type="dxa"/>
            <w:vAlign w:val="center"/>
          </w:tcPr>
          <w:p w14:paraId="04CFC976" w14:textId="77777777" w:rsid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Типи завдань:</w:t>
            </w:r>
            <w:r w:rsidR="009070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Індивідуальні творчі завдання, тести</w:t>
            </w:r>
          </w:p>
          <w:p w14:paraId="327074AE" w14:textId="77777777" w:rsid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F39159F" w14:textId="77777777" w:rsidR="00692203" w:rsidRP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Форми контролю:</w:t>
            </w:r>
            <w:r w:rsidR="009070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звіт з виконання завдання</w:t>
            </w:r>
          </w:p>
        </w:tc>
      </w:tr>
      <w:tr w:rsidR="005E1030" w14:paraId="28916C16" w14:textId="77777777" w:rsidTr="00FA1F51">
        <w:tc>
          <w:tcPr>
            <w:tcW w:w="4155" w:type="dxa"/>
            <w:shd w:val="clear" w:color="auto" w:fill="F2F2F2"/>
            <w:vAlign w:val="center"/>
          </w:tcPr>
          <w:p w14:paraId="3BB3C469" w14:textId="77777777" w:rsidR="005E1030" w:rsidRPr="009A4D1C" w:rsidRDefault="00600ED1" w:rsidP="009A4D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Стислий опис 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 тому числі перелік тем теоретичного курсу, практичних та лабораторних занять, семінарів тощо</w:t>
            </w:r>
          </w:p>
        </w:tc>
        <w:tc>
          <w:tcPr>
            <w:tcW w:w="5910" w:type="dxa"/>
            <w:vAlign w:val="center"/>
          </w:tcPr>
          <w:p w14:paraId="7A82D55F" w14:textId="77777777" w:rsidR="001C2D1E" w:rsidRDefault="00B30B08" w:rsidP="001C2D1E">
            <w:pPr>
              <w:pStyle w:val="20"/>
              <w:tabs>
                <w:tab w:val="center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Теоретична частина дисципліни забезпечує </w:t>
            </w:r>
            <w:r w:rsidR="001C2D1E" w:rsidRPr="001C2D1E">
              <w:rPr>
                <w:rFonts w:ascii="Times New Roman" w:hAnsi="Times New Roman" w:cs="Times New Roman"/>
                <w:sz w:val="24"/>
                <w:szCs w:val="24"/>
              </w:rPr>
              <w:t>формування   в  аспірантів знань щодо сучасних тенденцій розвитку технічних засобів автоматизації  в умовах Індустрії 4.0 для розроблення  інформаційного,  технічного та програмного забезпечення систем управління  окремими технологічними процесами нафтогазової промисловості.</w:t>
            </w:r>
          </w:p>
          <w:p w14:paraId="08408691" w14:textId="77777777" w:rsidR="00B30B08" w:rsidRPr="00AF33D6" w:rsidRDefault="00B30B08" w:rsidP="001C2D1E">
            <w:pPr>
              <w:pStyle w:val="20"/>
              <w:tabs>
                <w:tab w:val="center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  <w:r w:rsidR="00AF33D6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забезпечують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отримання навичок в р</w:t>
            </w:r>
            <w:r w:rsidRPr="00B30B08">
              <w:rPr>
                <w:rFonts w:ascii="Times New Roman" w:hAnsi="Times New Roman" w:cs="Times New Roman"/>
                <w:sz w:val="24"/>
                <w:szCs w:val="24"/>
              </w:rPr>
              <w:t>озроб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ленні </w:t>
            </w:r>
            <w:r w:rsidRPr="00B30B08">
              <w:rPr>
                <w:rFonts w:ascii="Times New Roman" w:hAnsi="Times New Roman" w:cs="Times New Roman"/>
                <w:sz w:val="24"/>
                <w:szCs w:val="24"/>
              </w:rPr>
              <w:t xml:space="preserve">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30B08">
              <w:rPr>
                <w:rFonts w:ascii="Times New Roman" w:hAnsi="Times New Roman" w:cs="Times New Roman"/>
                <w:sz w:val="24"/>
                <w:szCs w:val="24"/>
              </w:rPr>
              <w:t xml:space="preserve"> рішен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 вимірювальних систем на базі</w:t>
            </w:r>
            <w:r w:rsidRPr="00AF3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AF3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08">
              <w:rPr>
                <w:rFonts w:ascii="Times New Roman" w:hAnsi="Times New Roman" w:cs="Times New Roman"/>
                <w:sz w:val="24"/>
                <w:szCs w:val="24"/>
              </w:rPr>
              <w:t>пристрої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33D6">
              <w:rPr>
                <w:rFonts w:ascii="Times New Roman" w:hAnsi="Times New Roman" w:cs="Times New Roman"/>
                <w:sz w:val="24"/>
                <w:szCs w:val="24"/>
              </w:rPr>
              <w:t xml:space="preserve"> та бездротових  рішень, комп’ютерно-інтегрованих систем керування із застосуванням сучасних мікропроцесорних засобів автоматизації , а також у </w:t>
            </w:r>
            <w:r w:rsidR="00AF33D6" w:rsidRPr="00AF33D6"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 w:rsidR="00AF33D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AF33D6" w:rsidRPr="00AF33D6">
              <w:rPr>
                <w:rFonts w:ascii="Times New Roman" w:hAnsi="Times New Roman" w:cs="Times New Roman"/>
                <w:sz w:val="24"/>
                <w:szCs w:val="24"/>
              </w:rPr>
              <w:t>зац</w:t>
            </w:r>
            <w:r w:rsidR="00AF33D6">
              <w:rPr>
                <w:rFonts w:ascii="Times New Roman" w:hAnsi="Times New Roman" w:cs="Times New Roman"/>
                <w:sz w:val="24"/>
                <w:szCs w:val="24"/>
              </w:rPr>
              <w:t xml:space="preserve">ії програмного забезпечення для </w:t>
            </w:r>
            <w:r w:rsidR="00AF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</w:t>
            </w:r>
            <w:r w:rsidR="00AF33D6" w:rsidRPr="00AF3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3D6">
              <w:rPr>
                <w:rFonts w:ascii="Times New Roman" w:hAnsi="Times New Roman" w:cs="Times New Roman"/>
                <w:sz w:val="24"/>
                <w:szCs w:val="24"/>
              </w:rPr>
              <w:t xml:space="preserve"> при реалізації ефективних систем керування.</w:t>
            </w:r>
          </w:p>
          <w:p w14:paraId="2E770F44" w14:textId="77777777" w:rsidR="005E1030" w:rsidRPr="001C2D1E" w:rsidRDefault="005E10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2203" w14:paraId="4F5D56D5" w14:textId="77777777" w:rsidTr="00FA1F51">
        <w:tc>
          <w:tcPr>
            <w:tcW w:w="4155" w:type="dxa"/>
            <w:shd w:val="clear" w:color="auto" w:fill="F2F2F2"/>
            <w:vAlign w:val="center"/>
          </w:tcPr>
          <w:p w14:paraId="6DEC4D4C" w14:textId="77777777" w:rsidR="00692203" w:rsidRP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76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5910" w:type="dxa"/>
            <w:vAlign w:val="center"/>
          </w:tcPr>
          <w:p w14:paraId="1D5E5D7D" w14:textId="77777777" w:rsidR="001C2D1E" w:rsidRPr="001C2D1E" w:rsidRDefault="001C2D1E" w:rsidP="001C2D1E">
            <w:pPr>
              <w:tabs>
                <w:tab w:val="num" w:pos="0"/>
              </w:tabs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C2D1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C2D1E">
              <w:rPr>
                <w:rFonts w:ascii="Times New Roman" w:hAnsi="Times New Roman" w:cs="Times New Roman"/>
                <w:sz w:val="20"/>
                <w:szCs w:val="20"/>
              </w:rPr>
              <w:t>Когутяк</w:t>
            </w:r>
            <w:proofErr w:type="spellEnd"/>
            <w:r w:rsidRPr="001C2D1E">
              <w:rPr>
                <w:rFonts w:ascii="Times New Roman" w:hAnsi="Times New Roman" w:cs="Times New Roman"/>
                <w:sz w:val="20"/>
                <w:szCs w:val="20"/>
              </w:rPr>
              <w:t xml:space="preserve"> М. І., </w:t>
            </w:r>
            <w:proofErr w:type="spellStart"/>
            <w:r w:rsidRPr="001C2D1E">
              <w:rPr>
                <w:rFonts w:ascii="Times New Roman" w:hAnsi="Times New Roman" w:cs="Times New Roman"/>
                <w:sz w:val="20"/>
                <w:szCs w:val="20"/>
              </w:rPr>
              <w:t>Лагойда</w:t>
            </w:r>
            <w:proofErr w:type="spellEnd"/>
            <w:r w:rsidRPr="001C2D1E">
              <w:rPr>
                <w:rFonts w:ascii="Times New Roman" w:hAnsi="Times New Roman" w:cs="Times New Roman"/>
                <w:sz w:val="20"/>
                <w:szCs w:val="20"/>
              </w:rPr>
              <w:t xml:space="preserve"> А.І.. Мікропроцесорні технічні засоби автоматизації. Частина 2 FBD-програмування PLC : Навчальний посібник.– Івано-Франківськ: Факел, 2019.– 189с. [текст], НТБ</w:t>
            </w:r>
          </w:p>
          <w:p w14:paraId="48354812" w14:textId="5D01EA0C" w:rsidR="001C2D1E" w:rsidRPr="001C2D1E" w:rsidRDefault="001C2D1E" w:rsidP="001C2D1E">
            <w:pPr>
              <w:ind w:firstLine="567"/>
              <w:jc w:val="both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1C2D1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654DB" w:rsidRPr="009654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C2D1E">
              <w:rPr>
                <w:rFonts w:ascii="Times New Roman" w:hAnsi="Times New Roman" w:cs="Times New Roman"/>
                <w:bCs/>
                <w:sz w:val="20"/>
                <w:szCs w:val="20"/>
              </w:rPr>
              <w:t>Когутяк</w:t>
            </w:r>
            <w:proofErr w:type="spellEnd"/>
            <w:r w:rsidRPr="001C2D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М.І, </w:t>
            </w:r>
            <w:proofErr w:type="spellStart"/>
            <w:r w:rsidRPr="001C2D1E">
              <w:rPr>
                <w:rFonts w:ascii="Times New Roman" w:hAnsi="Times New Roman" w:cs="Times New Roman"/>
                <w:bCs/>
                <w:sz w:val="20"/>
                <w:szCs w:val="20"/>
              </w:rPr>
              <w:t>Лагойда</w:t>
            </w:r>
            <w:proofErr w:type="spellEnd"/>
            <w:r w:rsidRPr="001C2D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C2D1E">
              <w:rPr>
                <w:rFonts w:ascii="Times New Roman" w:hAnsi="Times New Roman" w:cs="Times New Roman"/>
                <w:bCs/>
                <w:sz w:val="20"/>
                <w:szCs w:val="20"/>
              </w:rPr>
              <w:t>А.І..Мікропроцесорні</w:t>
            </w:r>
            <w:proofErr w:type="spellEnd"/>
            <w:r w:rsidRPr="001C2D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технічні засоби автоматизації. Ч.1.Програмовані логічні контролери. Навчальний посібник.-Івано-Франківськ: ІФНТУНГ,2016-</w:t>
            </w:r>
            <w:r w:rsidRPr="001C2D1E">
              <w:rPr>
                <w:rFonts w:ascii="Times New Roman" w:hAnsi="Times New Roman" w:cs="Times New Roman"/>
                <w:sz w:val="20"/>
                <w:szCs w:val="20"/>
              </w:rPr>
              <w:t xml:space="preserve">237с. режим доступу </w:t>
            </w:r>
            <w:hyperlink r:id="rId9" w:history="1">
              <w:r w:rsidRPr="001C2D1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http://194.44.112.13/chytalna/5768/index.html</w:t>
              </w:r>
            </w:hyperlink>
          </w:p>
          <w:p w14:paraId="3F1AB534" w14:textId="77777777" w:rsidR="001C2D1E" w:rsidRPr="001C2D1E" w:rsidRDefault="001C2D1E" w:rsidP="001C2D1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D1E">
              <w:rPr>
                <w:rFonts w:ascii="Times New Roman" w:hAnsi="Times New Roman" w:cs="Times New Roman"/>
                <w:sz w:val="20"/>
                <w:szCs w:val="20"/>
              </w:rPr>
              <w:t xml:space="preserve">3.Когутяк М. І. Сучасні комп’ютерні технології в автоматизації.Ч.1.Автоматизовані системи керування технологічними процесами нафтогазової галузі.: Навчальний посібник.– Івано-Франківськ: Факел, 2009.– 278с. . режим доступу </w:t>
            </w:r>
            <w:hyperlink r:id="rId10" w:history="1">
              <w:r w:rsidRPr="001C2D1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http://194.44.112.13/chytalna/1366/index.html</w:t>
              </w:r>
            </w:hyperlink>
          </w:p>
          <w:p w14:paraId="7EA65D7C" w14:textId="77777777" w:rsid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D8FBBA" w14:textId="77777777" w:rsidR="005E1030" w:rsidRDefault="00600ED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t>.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footnoteReference w:id="1"/>
      </w:r>
    </w:p>
    <w:sectPr w:rsidR="005E1030" w:rsidSect="00692203">
      <w:pgSz w:w="11909" w:h="16834"/>
      <w:pgMar w:top="567" w:right="567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14DA" w14:textId="77777777" w:rsidR="007A06AB" w:rsidRDefault="007A06AB">
      <w:pPr>
        <w:spacing w:line="240" w:lineRule="auto"/>
      </w:pPr>
      <w:r>
        <w:separator/>
      </w:r>
    </w:p>
  </w:endnote>
  <w:endnote w:type="continuationSeparator" w:id="0">
    <w:p w14:paraId="3C7F502F" w14:textId="77777777" w:rsidR="007A06AB" w:rsidRDefault="007A0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B80B" w14:textId="77777777" w:rsidR="007A06AB" w:rsidRDefault="007A06AB">
      <w:pPr>
        <w:spacing w:line="240" w:lineRule="auto"/>
      </w:pPr>
      <w:r>
        <w:separator/>
      </w:r>
    </w:p>
  </w:footnote>
  <w:footnote w:type="continuationSeparator" w:id="0">
    <w:p w14:paraId="448CD073" w14:textId="77777777" w:rsidR="007A06AB" w:rsidRDefault="007A06AB">
      <w:pPr>
        <w:spacing w:line="240" w:lineRule="auto"/>
      </w:pPr>
      <w:r>
        <w:continuationSeparator/>
      </w:r>
    </w:p>
  </w:footnote>
  <w:footnote w:id="1">
    <w:p w14:paraId="694445BA" w14:textId="77777777" w:rsidR="005E1030" w:rsidRDefault="00600ED1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обсяг анотації – 1-2 сторінки, стиль викладення – простий і зрозумілий.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030"/>
    <w:rsid w:val="00040615"/>
    <w:rsid w:val="00115F02"/>
    <w:rsid w:val="00184331"/>
    <w:rsid w:val="001C2D1E"/>
    <w:rsid w:val="002510C3"/>
    <w:rsid w:val="0049356A"/>
    <w:rsid w:val="005C4212"/>
    <w:rsid w:val="005E1030"/>
    <w:rsid w:val="00600ED1"/>
    <w:rsid w:val="00692203"/>
    <w:rsid w:val="007379AD"/>
    <w:rsid w:val="007A06AB"/>
    <w:rsid w:val="00907060"/>
    <w:rsid w:val="009654DB"/>
    <w:rsid w:val="009867CF"/>
    <w:rsid w:val="009A4D1C"/>
    <w:rsid w:val="00A54AF2"/>
    <w:rsid w:val="00AF33D6"/>
    <w:rsid w:val="00B30B08"/>
    <w:rsid w:val="00B319C4"/>
    <w:rsid w:val="00B47688"/>
    <w:rsid w:val="00B7564B"/>
    <w:rsid w:val="00CA16E8"/>
    <w:rsid w:val="00CB5F10"/>
    <w:rsid w:val="00DC6AE3"/>
    <w:rsid w:val="00F44807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011D"/>
  <w15:docId w15:val="{38CD0277-CEB3-4F14-BD50-D7E56A8F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uiPriority w:val="99"/>
    <w:rsid w:val="002510C3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uk-UA" w:eastAsia="en-US"/>
    </w:rPr>
  </w:style>
  <w:style w:type="paragraph" w:customStyle="1" w:styleId="10">
    <w:name w:val="Абзац списка1"/>
    <w:basedOn w:val="a"/>
    <w:uiPriority w:val="99"/>
    <w:rsid w:val="00115F02"/>
    <w:pPr>
      <w:spacing w:line="240" w:lineRule="auto"/>
      <w:ind w:left="720"/>
    </w:pPr>
    <w:rPr>
      <w:rFonts w:ascii="Calibri" w:eastAsia="Calibri" w:hAnsi="Calibri" w:cs="Calibri"/>
      <w:sz w:val="24"/>
      <w:szCs w:val="24"/>
      <w:lang w:val="uk-UA"/>
    </w:rPr>
  </w:style>
  <w:style w:type="character" w:styleId="a6">
    <w:name w:val="Hyperlink"/>
    <w:rsid w:val="001C2D1E"/>
    <w:rPr>
      <w:color w:val="0563C1"/>
      <w:u w:val="single"/>
    </w:rPr>
  </w:style>
  <w:style w:type="paragraph" w:styleId="20">
    <w:name w:val="Body Text Indent 2"/>
    <w:basedOn w:val="a"/>
    <w:link w:val="21"/>
    <w:uiPriority w:val="99"/>
    <w:rsid w:val="001C2D1E"/>
    <w:pPr>
      <w:spacing w:after="120" w:line="480" w:lineRule="auto"/>
      <w:ind w:left="283"/>
    </w:pPr>
    <w:rPr>
      <w:rFonts w:ascii="Calibri" w:eastAsia="Calibri" w:hAnsi="Calibri" w:cs="Calibri"/>
      <w:lang w:val="uk-UA" w:eastAsia="en-US"/>
    </w:rPr>
  </w:style>
  <w:style w:type="character" w:customStyle="1" w:styleId="21">
    <w:name w:val="Основний текст з відступом 2 Знак"/>
    <w:basedOn w:val="a0"/>
    <w:link w:val="20"/>
    <w:uiPriority w:val="99"/>
    <w:rsid w:val="001C2D1E"/>
    <w:rPr>
      <w:rFonts w:ascii="Calibri" w:eastAsia="Calibri" w:hAnsi="Calibri" w:cs="Calibri"/>
      <w:lang w:val="uk-UA" w:eastAsia="en-US"/>
    </w:rPr>
  </w:style>
  <w:style w:type="character" w:styleId="a7">
    <w:name w:val="Unresolved Mention"/>
    <w:basedOn w:val="a0"/>
    <w:uiPriority w:val="99"/>
    <w:semiHidden/>
    <w:unhideWhenUsed/>
    <w:rsid w:val="00B30B08"/>
    <w:rPr>
      <w:color w:val="605E5C"/>
      <w:shd w:val="clear" w:color="auto" w:fill="E1DFDD"/>
    </w:rPr>
  </w:style>
  <w:style w:type="character" w:styleId="a8">
    <w:name w:val="Emphasis"/>
    <w:uiPriority w:val="20"/>
    <w:qFormat/>
    <w:rsid w:val="00FA1F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44.112.13/chytalna/1366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94.44.112.13/chytalna/5768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194.44.112.13/chytalna/1366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194.44.112.13/chytalna/5768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Михайло</cp:lastModifiedBy>
  <cp:revision>3</cp:revision>
  <dcterms:created xsi:type="dcterms:W3CDTF">2023-01-05T06:56:00Z</dcterms:created>
  <dcterms:modified xsi:type="dcterms:W3CDTF">2023-03-07T10:12:00Z</dcterms:modified>
</cp:coreProperties>
</file>